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75392" w14:textId="77777777" w:rsidR="00A4545B" w:rsidRDefault="00A4545B" w:rsidP="00A4545B">
      <w:pPr>
        <w:spacing w:after="0" w:line="259" w:lineRule="auto"/>
        <w:jc w:val="center"/>
        <w:rPr>
          <w:rFonts w:ascii="Times New Roman" w:hAnsi="Times New Roman"/>
          <w:sz w:val="24"/>
          <w:szCs w:val="24"/>
        </w:rPr>
      </w:pPr>
      <w:r>
        <w:rPr>
          <w:noProof/>
        </w:rPr>
        <w:drawing>
          <wp:inline distT="0" distB="0" distL="0" distR="0" wp14:anchorId="7B98DAD3" wp14:editId="320FC1A5">
            <wp:extent cx="260985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09850" cy="857250"/>
                    </a:xfrm>
                    <a:prstGeom prst="rect">
                      <a:avLst/>
                    </a:prstGeom>
                  </pic:spPr>
                </pic:pic>
              </a:graphicData>
            </a:graphic>
          </wp:inline>
        </w:drawing>
      </w:r>
    </w:p>
    <w:p w14:paraId="3ECDE361" w14:textId="77777777" w:rsidR="00A4545B" w:rsidRDefault="00A4545B" w:rsidP="00A4545B">
      <w:pPr>
        <w:spacing w:after="0" w:line="240" w:lineRule="auto"/>
        <w:jc w:val="center"/>
        <w:rPr>
          <w:rFonts w:ascii="Times New Roman" w:hAnsi="Times New Roman"/>
          <w:sz w:val="24"/>
          <w:szCs w:val="24"/>
        </w:rPr>
      </w:pPr>
      <w:r w:rsidRPr="00886623">
        <w:rPr>
          <w:rFonts w:ascii="Times New Roman" w:hAnsi="Times New Roman"/>
          <w:sz w:val="24"/>
          <w:szCs w:val="24"/>
        </w:rPr>
        <w:t>[[DATE]]</w:t>
      </w:r>
    </w:p>
    <w:p w14:paraId="3AC0F94B" w14:textId="5FB354E0" w:rsidR="00AE3418" w:rsidRDefault="00AE3418" w:rsidP="00AE3418">
      <w:pPr>
        <w:pStyle w:val="BodyText"/>
        <w:tabs>
          <w:tab w:val="left" w:pos="5111"/>
        </w:tabs>
        <w:spacing w:before="219"/>
        <w:ind w:left="111"/>
      </w:pPr>
      <w:r>
        <w:t>The</w:t>
      </w:r>
      <w:r>
        <w:rPr>
          <w:spacing w:val="-2"/>
        </w:rPr>
        <w:t xml:space="preserve"> </w:t>
      </w:r>
      <w:r>
        <w:t>Honorable</w:t>
      </w:r>
      <w:r>
        <w:rPr>
          <w:spacing w:val="-2"/>
        </w:rPr>
        <w:t xml:space="preserve"> </w:t>
      </w:r>
      <w:r>
        <w:t>Chris</w:t>
      </w:r>
      <w:r>
        <w:rPr>
          <w:spacing w:val="-1"/>
        </w:rPr>
        <w:t xml:space="preserve"> </w:t>
      </w:r>
      <w:r>
        <w:t>Van</w:t>
      </w:r>
      <w:r>
        <w:rPr>
          <w:spacing w:val="-2"/>
        </w:rPr>
        <w:t xml:space="preserve"> Hollen</w:t>
      </w:r>
      <w:r>
        <w:tab/>
        <w:t>The</w:t>
      </w:r>
      <w:r>
        <w:rPr>
          <w:spacing w:val="-5"/>
        </w:rPr>
        <w:t xml:space="preserve"> </w:t>
      </w:r>
      <w:r>
        <w:t>Honorable</w:t>
      </w:r>
      <w:r>
        <w:rPr>
          <w:spacing w:val="-1"/>
        </w:rPr>
        <w:t xml:space="preserve"> </w:t>
      </w:r>
      <w:r w:rsidR="00003E23">
        <w:t>Bill Hagerty</w:t>
      </w:r>
    </w:p>
    <w:p w14:paraId="1828735D" w14:textId="77777777" w:rsidR="00AE3418" w:rsidRDefault="00AE3418" w:rsidP="00AE3418">
      <w:pPr>
        <w:pStyle w:val="BodyText"/>
        <w:tabs>
          <w:tab w:val="left" w:pos="5137"/>
        </w:tabs>
        <w:ind w:left="111"/>
      </w:pPr>
      <w:r>
        <w:rPr>
          <w:spacing w:val="-2"/>
        </w:rPr>
        <w:t>Chairman</w:t>
      </w:r>
      <w:r>
        <w:tab/>
        <w:t>Ranking</w:t>
      </w:r>
      <w:r>
        <w:rPr>
          <w:spacing w:val="-4"/>
        </w:rPr>
        <w:t xml:space="preserve"> </w:t>
      </w:r>
      <w:r>
        <w:rPr>
          <w:spacing w:val="-2"/>
        </w:rPr>
        <w:t>Member</w:t>
      </w:r>
    </w:p>
    <w:p w14:paraId="62DE6457" w14:textId="77777777" w:rsidR="00AE3418" w:rsidRDefault="00AE3418" w:rsidP="00AE3418">
      <w:pPr>
        <w:pStyle w:val="BodyText"/>
        <w:tabs>
          <w:tab w:val="left" w:pos="5123"/>
        </w:tabs>
        <w:spacing w:before="1"/>
        <w:ind w:left="111" w:right="842"/>
      </w:pPr>
      <w:r>
        <w:t>Subcommittee on Financial Services</w:t>
      </w:r>
      <w:r>
        <w:tab/>
        <w:t>Subcommittee</w:t>
      </w:r>
      <w:r>
        <w:rPr>
          <w:spacing w:val="-13"/>
        </w:rPr>
        <w:t xml:space="preserve"> </w:t>
      </w:r>
      <w:r>
        <w:t>on</w:t>
      </w:r>
      <w:r>
        <w:rPr>
          <w:spacing w:val="-14"/>
        </w:rPr>
        <w:t xml:space="preserve"> </w:t>
      </w:r>
      <w:r>
        <w:t>Financial</w:t>
      </w:r>
      <w:r>
        <w:rPr>
          <w:spacing w:val="-12"/>
        </w:rPr>
        <w:t xml:space="preserve"> </w:t>
      </w:r>
      <w:r>
        <w:t>Services &amp; General Government</w:t>
      </w:r>
      <w:r>
        <w:tab/>
      </w:r>
      <w:r>
        <w:rPr>
          <w:spacing w:val="-37"/>
        </w:rPr>
        <w:t xml:space="preserve"> </w:t>
      </w:r>
      <w:r>
        <w:t>&amp; General Government</w:t>
      </w:r>
    </w:p>
    <w:p w14:paraId="08BC483B" w14:textId="77777777" w:rsidR="00AE3418" w:rsidRDefault="00AE3418" w:rsidP="00AE3418">
      <w:pPr>
        <w:pStyle w:val="BodyText"/>
        <w:tabs>
          <w:tab w:val="left" w:pos="5131"/>
        </w:tabs>
        <w:ind w:left="111"/>
      </w:pPr>
      <w:r>
        <w:t>Senate</w:t>
      </w:r>
      <w:r>
        <w:rPr>
          <w:spacing w:val="-3"/>
        </w:rPr>
        <w:t xml:space="preserve"> </w:t>
      </w:r>
      <w:r>
        <w:t>Appropriations</w:t>
      </w:r>
      <w:r>
        <w:rPr>
          <w:spacing w:val="-1"/>
        </w:rPr>
        <w:t xml:space="preserve"> </w:t>
      </w:r>
      <w:r>
        <w:rPr>
          <w:spacing w:val="-2"/>
        </w:rPr>
        <w:t>Committee</w:t>
      </w:r>
      <w:r>
        <w:tab/>
        <w:t>Senate</w:t>
      </w:r>
      <w:r>
        <w:rPr>
          <w:spacing w:val="-6"/>
        </w:rPr>
        <w:t xml:space="preserve"> </w:t>
      </w:r>
      <w:r>
        <w:t>Appropriations</w:t>
      </w:r>
      <w:r>
        <w:rPr>
          <w:spacing w:val="-2"/>
        </w:rPr>
        <w:t xml:space="preserve"> Committee</w:t>
      </w:r>
    </w:p>
    <w:p w14:paraId="3A2BC51E" w14:textId="77777777" w:rsidR="00AE3418" w:rsidRDefault="00AE3418" w:rsidP="00AE3418">
      <w:pPr>
        <w:pStyle w:val="BodyText"/>
        <w:tabs>
          <w:tab w:val="left" w:pos="5125"/>
        </w:tabs>
        <w:ind w:left="111"/>
      </w:pPr>
      <w:r>
        <w:t>The</w:t>
      </w:r>
      <w:r>
        <w:rPr>
          <w:spacing w:val="-2"/>
        </w:rPr>
        <w:t xml:space="preserve"> </w:t>
      </w:r>
      <w:r>
        <w:t>Capitol,</w:t>
      </w:r>
      <w:r>
        <w:rPr>
          <w:spacing w:val="-2"/>
        </w:rPr>
        <w:t xml:space="preserve"> </w:t>
      </w:r>
      <w:r>
        <w:t>S-</w:t>
      </w:r>
      <w:r>
        <w:rPr>
          <w:spacing w:val="-5"/>
        </w:rPr>
        <w:t>131</w:t>
      </w:r>
      <w:r>
        <w:tab/>
        <w:t>The</w:t>
      </w:r>
      <w:r>
        <w:rPr>
          <w:spacing w:val="-7"/>
        </w:rPr>
        <w:t xml:space="preserve"> </w:t>
      </w:r>
      <w:r>
        <w:t>Capitol,</w:t>
      </w:r>
      <w:r>
        <w:rPr>
          <w:spacing w:val="-1"/>
        </w:rPr>
        <w:t xml:space="preserve"> </w:t>
      </w:r>
      <w:r>
        <w:t>S-</w:t>
      </w:r>
      <w:r>
        <w:rPr>
          <w:spacing w:val="-5"/>
        </w:rPr>
        <w:t>131</w:t>
      </w:r>
    </w:p>
    <w:p w14:paraId="3C35E6E4" w14:textId="77777777" w:rsidR="00AE3418" w:rsidRDefault="00AE3418" w:rsidP="00AE3418">
      <w:pPr>
        <w:pStyle w:val="BodyText"/>
        <w:tabs>
          <w:tab w:val="left" w:pos="5145"/>
        </w:tabs>
        <w:ind w:left="111"/>
      </w:pPr>
      <w:r>
        <w:t>Washington,</w:t>
      </w:r>
      <w:r>
        <w:rPr>
          <w:spacing w:val="-4"/>
        </w:rPr>
        <w:t xml:space="preserve"> </w:t>
      </w:r>
      <w:r>
        <w:t>D.C.</w:t>
      </w:r>
      <w:r>
        <w:rPr>
          <w:spacing w:val="-1"/>
        </w:rPr>
        <w:t xml:space="preserve"> </w:t>
      </w:r>
      <w:r>
        <w:rPr>
          <w:spacing w:val="-2"/>
        </w:rPr>
        <w:t>20510</w:t>
      </w:r>
      <w:r>
        <w:tab/>
        <w:t>Washington,</w:t>
      </w:r>
      <w:r>
        <w:rPr>
          <w:spacing w:val="-5"/>
        </w:rPr>
        <w:t xml:space="preserve"> </w:t>
      </w:r>
      <w:r>
        <w:t>D.C.</w:t>
      </w:r>
      <w:r>
        <w:rPr>
          <w:spacing w:val="-3"/>
        </w:rPr>
        <w:t xml:space="preserve"> </w:t>
      </w:r>
      <w:r>
        <w:rPr>
          <w:spacing w:val="-2"/>
        </w:rPr>
        <w:t>20510</w:t>
      </w:r>
    </w:p>
    <w:p w14:paraId="7AE78E3E" w14:textId="77777777" w:rsidR="00AE3418" w:rsidRPr="00AE3418" w:rsidRDefault="00AE3418" w:rsidP="00AE3418">
      <w:pPr>
        <w:pStyle w:val="BodyText"/>
      </w:pPr>
    </w:p>
    <w:p w14:paraId="2048E36D" w14:textId="77777777" w:rsidR="00AE3418" w:rsidRPr="00AE3418" w:rsidRDefault="00AE3418" w:rsidP="00AE3418">
      <w:pPr>
        <w:pStyle w:val="BodyText"/>
        <w:spacing w:before="11"/>
      </w:pPr>
    </w:p>
    <w:p w14:paraId="22480A19" w14:textId="6FC6047A" w:rsidR="00003E23" w:rsidRDefault="00003E23" w:rsidP="00003E23">
      <w:pPr>
        <w:pStyle w:val="BodyText"/>
        <w:ind w:left="101"/>
      </w:pPr>
      <w:r>
        <w:t>Dear</w:t>
      </w:r>
      <w:r>
        <w:rPr>
          <w:spacing w:val="-4"/>
        </w:rPr>
        <w:t xml:space="preserve"> </w:t>
      </w:r>
      <w:r w:rsidR="00CC189F">
        <w:t>Chairman</w:t>
      </w:r>
      <w:r>
        <w:t xml:space="preserve"> Van</w:t>
      </w:r>
      <w:r>
        <w:rPr>
          <w:spacing w:val="-3"/>
        </w:rPr>
        <w:t xml:space="preserve"> </w:t>
      </w:r>
      <w:r>
        <w:t>Hollen</w:t>
      </w:r>
      <w:r>
        <w:rPr>
          <w:spacing w:val="-2"/>
        </w:rPr>
        <w:t xml:space="preserve"> </w:t>
      </w:r>
      <w:r>
        <w:t>and</w:t>
      </w:r>
      <w:r>
        <w:rPr>
          <w:spacing w:val="-2"/>
        </w:rPr>
        <w:t xml:space="preserve"> </w:t>
      </w:r>
      <w:r>
        <w:t>Ranking</w:t>
      </w:r>
      <w:r>
        <w:rPr>
          <w:spacing w:val="-4"/>
        </w:rPr>
        <w:t xml:space="preserve"> </w:t>
      </w:r>
      <w:r>
        <w:t>Member</w:t>
      </w:r>
      <w:r>
        <w:rPr>
          <w:spacing w:val="-1"/>
        </w:rPr>
        <w:t xml:space="preserve"> </w:t>
      </w:r>
      <w:r>
        <w:t>Hagerty</w:t>
      </w:r>
      <w:r>
        <w:rPr>
          <w:spacing w:val="-2"/>
        </w:rPr>
        <w:t>:</w:t>
      </w:r>
    </w:p>
    <w:p w14:paraId="40B83334" w14:textId="77777777" w:rsidR="00003E23" w:rsidRDefault="00003E23" w:rsidP="00003E23">
      <w:pPr>
        <w:pStyle w:val="BodyText"/>
      </w:pPr>
    </w:p>
    <w:p w14:paraId="75912EB9" w14:textId="77777777" w:rsidR="00003E23" w:rsidRDefault="00003E23" w:rsidP="00003E23">
      <w:pPr>
        <w:pStyle w:val="BodyText"/>
        <w:ind w:left="101" w:right="208"/>
      </w:pPr>
      <w:r>
        <w:t>We</w:t>
      </w:r>
      <w:r>
        <w:rPr>
          <w:spacing w:val="-3"/>
        </w:rPr>
        <w:t xml:space="preserve"> </w:t>
      </w:r>
      <w:r>
        <w:t>write</w:t>
      </w:r>
      <w:r>
        <w:rPr>
          <w:spacing w:val="-3"/>
        </w:rPr>
        <w:t xml:space="preserve"> </w:t>
      </w:r>
      <w:r>
        <w:t>in</w:t>
      </w:r>
      <w:r>
        <w:rPr>
          <w:spacing w:val="-3"/>
        </w:rPr>
        <w:t xml:space="preserve"> </w:t>
      </w:r>
      <w:r>
        <w:t>supp</w:t>
      </w:r>
      <w:bookmarkStart w:id="0" w:name="_GoBack"/>
      <w:bookmarkEnd w:id="0"/>
      <w:r>
        <w:t>ort</w:t>
      </w:r>
      <w:r>
        <w:rPr>
          <w:spacing w:val="-3"/>
        </w:rPr>
        <w:t xml:space="preserve"> </w:t>
      </w:r>
      <w:r>
        <w:t>of</w:t>
      </w:r>
      <w:r>
        <w:rPr>
          <w:spacing w:val="-4"/>
        </w:rPr>
        <w:t xml:space="preserve"> </w:t>
      </w:r>
      <w:r>
        <w:t>at</w:t>
      </w:r>
      <w:r>
        <w:rPr>
          <w:spacing w:val="-4"/>
        </w:rPr>
        <w:t xml:space="preserve"> </w:t>
      </w:r>
      <w:r>
        <w:t>least</w:t>
      </w:r>
      <w:r>
        <w:rPr>
          <w:spacing w:val="-3"/>
        </w:rPr>
        <w:t xml:space="preserve"> </w:t>
      </w:r>
      <w:r>
        <w:t>$341 million</w:t>
      </w:r>
      <w:r>
        <w:rPr>
          <w:spacing w:val="-1"/>
        </w:rPr>
        <w:t xml:space="preserve"> </w:t>
      </w:r>
      <w:r>
        <w:t>as</w:t>
      </w:r>
      <w:r>
        <w:rPr>
          <w:spacing w:val="-4"/>
        </w:rPr>
        <w:t xml:space="preserve"> </w:t>
      </w:r>
      <w:r>
        <w:t>proposed</w:t>
      </w:r>
      <w:r>
        <w:rPr>
          <w:spacing w:val="-3"/>
        </w:rPr>
        <w:t xml:space="preserve"> </w:t>
      </w:r>
      <w:r>
        <w:t>by</w:t>
      </w:r>
      <w:r>
        <w:rPr>
          <w:spacing w:val="-4"/>
        </w:rPr>
        <w:t xml:space="preserve"> </w:t>
      </w:r>
      <w:r>
        <w:t>the</w:t>
      </w:r>
      <w:r>
        <w:rPr>
          <w:spacing w:val="-4"/>
        </w:rPr>
        <w:t xml:space="preserve"> </w:t>
      </w:r>
      <w:r>
        <w:t>Fiscal</w:t>
      </w:r>
      <w:r>
        <w:rPr>
          <w:spacing w:val="-3"/>
        </w:rPr>
        <w:t xml:space="preserve"> </w:t>
      </w:r>
      <w:r>
        <w:t>Year</w:t>
      </w:r>
      <w:r>
        <w:rPr>
          <w:spacing w:val="-4"/>
        </w:rPr>
        <w:t xml:space="preserve"> </w:t>
      </w:r>
      <w:r>
        <w:t>2024</w:t>
      </w:r>
      <w:r>
        <w:rPr>
          <w:spacing w:val="-4"/>
        </w:rPr>
        <w:t xml:space="preserve"> </w:t>
      </w:r>
      <w:r>
        <w:t>Department of the Treasury Budget for the Community Development Financial Institutions Fund (CDFI Fund). The CDFI Fund administers innovative and effective programs that enable Community Development Financial Institutions (CDFIs) to address the needs of underserved urban, rural, and Native communities that traditional financial institutions cannot.</w:t>
      </w:r>
    </w:p>
    <w:p w14:paraId="5DBA716E" w14:textId="77777777" w:rsidR="00003E23" w:rsidRDefault="00003E23" w:rsidP="00003E23">
      <w:pPr>
        <w:pStyle w:val="BodyText"/>
      </w:pPr>
    </w:p>
    <w:p w14:paraId="549E7D79" w14:textId="77777777" w:rsidR="00003E23" w:rsidRDefault="00003E23" w:rsidP="00003E23">
      <w:pPr>
        <w:pStyle w:val="BodyText"/>
        <w:spacing w:before="1" w:line="276" w:lineRule="auto"/>
        <w:ind w:left="101" w:right="101"/>
      </w:pPr>
      <w:r>
        <w:t>CDFI Fund programs include Financial Assistance (FA) and Technical Assistance (TA) awards to small and emerging CDFIs as well as established CDFIs, the Native American CDFI Assistance (NACA) Program aimed at increasing the number and capacity of CDFIs serving Native communities, and the Bank Enterprise Awards (BEA) program providing monetary awards to FDIC-insured banks that invest in low-income communities and CDFIs. CDFIs use these awards to provide a range of financial products and services to revitalize communities and increase</w:t>
      </w:r>
      <w:r>
        <w:rPr>
          <w:spacing w:val="-4"/>
        </w:rPr>
        <w:t xml:space="preserve"> </w:t>
      </w:r>
      <w:r>
        <w:t>economic</w:t>
      </w:r>
      <w:r>
        <w:rPr>
          <w:spacing w:val="-2"/>
        </w:rPr>
        <w:t xml:space="preserve"> </w:t>
      </w:r>
      <w:r>
        <w:t>opportunity.</w:t>
      </w:r>
      <w:r>
        <w:rPr>
          <w:spacing w:val="-4"/>
        </w:rPr>
        <w:t xml:space="preserve"> </w:t>
      </w:r>
      <w:r>
        <w:t>CDFI</w:t>
      </w:r>
      <w:r>
        <w:rPr>
          <w:spacing w:val="-5"/>
        </w:rPr>
        <w:t xml:space="preserve"> </w:t>
      </w:r>
      <w:r>
        <w:t>programs</w:t>
      </w:r>
      <w:r>
        <w:rPr>
          <w:spacing w:val="-3"/>
        </w:rPr>
        <w:t xml:space="preserve"> </w:t>
      </w:r>
      <w:r>
        <w:t>also</w:t>
      </w:r>
      <w:r>
        <w:rPr>
          <w:spacing w:val="-5"/>
        </w:rPr>
        <w:t xml:space="preserve"> </w:t>
      </w:r>
      <w:r>
        <w:t>include</w:t>
      </w:r>
      <w:r>
        <w:rPr>
          <w:spacing w:val="-4"/>
        </w:rPr>
        <w:t xml:space="preserve"> </w:t>
      </w:r>
      <w:r>
        <w:t>the</w:t>
      </w:r>
      <w:r>
        <w:rPr>
          <w:spacing w:val="-4"/>
        </w:rPr>
        <w:t xml:space="preserve"> </w:t>
      </w:r>
      <w:r>
        <w:t>Small</w:t>
      </w:r>
      <w:r>
        <w:rPr>
          <w:spacing w:val="-4"/>
        </w:rPr>
        <w:t xml:space="preserve"> </w:t>
      </w:r>
      <w:r>
        <w:t>Dollar Loan Program and Economic Mobility Corps. The CDFI Fund also administers the New Market Tax Credit Program, the Capital Magnet Fund, and the CDFI Bond Guarantee Program, designed to generate lending and investing in promoting community revitalization, business development, affordable housing, and job creation in economically distressed communities.</w:t>
      </w:r>
    </w:p>
    <w:p w14:paraId="5F40761A" w14:textId="77777777" w:rsidR="00003E23" w:rsidRDefault="00003E23" w:rsidP="00003E23">
      <w:pPr>
        <w:pStyle w:val="BodyText"/>
        <w:spacing w:before="195" w:line="276" w:lineRule="auto"/>
        <w:ind w:left="101" w:right="161"/>
      </w:pPr>
      <w:r>
        <w:t>There are over 1380 certified CDF</w:t>
      </w:r>
      <w:bookmarkStart w:id="1" w:name="_bookmark0"/>
      <w:bookmarkEnd w:id="1"/>
      <w:r>
        <w:t>Is</w:t>
      </w:r>
      <w:hyperlink w:anchor="_bookmark1" w:history="1">
        <w:r>
          <w:rPr>
            <w:vertAlign w:val="superscript"/>
          </w:rPr>
          <w:t>1</w:t>
        </w:r>
      </w:hyperlink>
      <w:r>
        <w:t>. Since 1994, the CDFI Fund has awarded $5.6 billion in</w:t>
      </w:r>
      <w:r>
        <w:rPr>
          <w:spacing w:val="-3"/>
        </w:rPr>
        <w:t xml:space="preserve"> </w:t>
      </w:r>
      <w:r>
        <w:t>total</w:t>
      </w:r>
      <w:r>
        <w:rPr>
          <w:spacing w:val="-3"/>
        </w:rPr>
        <w:t xml:space="preserve"> </w:t>
      </w:r>
      <w:r>
        <w:t>funding</w:t>
      </w:r>
      <w:r>
        <w:rPr>
          <w:spacing w:val="-3"/>
        </w:rPr>
        <w:t xml:space="preserve"> </w:t>
      </w:r>
      <w:r>
        <w:t>to</w:t>
      </w:r>
      <w:r>
        <w:rPr>
          <w:spacing w:val="-3"/>
        </w:rPr>
        <w:t xml:space="preserve"> </w:t>
      </w:r>
      <w:r>
        <w:t>CDFIs,</w:t>
      </w:r>
      <w:r>
        <w:rPr>
          <w:spacing w:val="-3"/>
        </w:rPr>
        <w:t xml:space="preserve"> </w:t>
      </w:r>
      <w:r>
        <w:t>which</w:t>
      </w:r>
      <w:r>
        <w:rPr>
          <w:spacing w:val="-3"/>
        </w:rPr>
        <w:t xml:space="preserve"> </w:t>
      </w:r>
      <w:r>
        <w:t>leverage</w:t>
      </w:r>
      <w:r>
        <w:rPr>
          <w:spacing w:val="-3"/>
        </w:rPr>
        <w:t xml:space="preserve"> </w:t>
      </w:r>
      <w:r>
        <w:t>over</w:t>
      </w:r>
      <w:r>
        <w:rPr>
          <w:spacing w:val="-3"/>
        </w:rPr>
        <w:t xml:space="preserve"> </w:t>
      </w:r>
      <w:r>
        <w:t>$12</w:t>
      </w:r>
      <w:r>
        <w:rPr>
          <w:spacing w:val="-3"/>
        </w:rPr>
        <w:t xml:space="preserve"> </w:t>
      </w:r>
      <w:r>
        <w:t>in</w:t>
      </w:r>
      <w:r>
        <w:rPr>
          <w:spacing w:val="-3"/>
        </w:rPr>
        <w:t xml:space="preserve"> </w:t>
      </w:r>
      <w:r>
        <w:t>capital</w:t>
      </w:r>
      <w:r>
        <w:rPr>
          <w:spacing w:val="-1"/>
        </w:rPr>
        <w:t xml:space="preserve"> </w:t>
      </w:r>
      <w:r>
        <w:t>from</w:t>
      </w:r>
      <w:r>
        <w:rPr>
          <w:spacing w:val="-4"/>
        </w:rPr>
        <w:t xml:space="preserve"> </w:t>
      </w:r>
      <w:r>
        <w:t>other</w:t>
      </w:r>
      <w:r>
        <w:rPr>
          <w:spacing w:val="-3"/>
        </w:rPr>
        <w:t xml:space="preserve"> </w:t>
      </w:r>
      <w:r>
        <w:t>sources</w:t>
      </w:r>
      <w:r>
        <w:rPr>
          <w:spacing w:val="-3"/>
        </w:rPr>
        <w:t xml:space="preserve"> </w:t>
      </w:r>
      <w:r>
        <w:t>for</w:t>
      </w:r>
      <w:r>
        <w:rPr>
          <w:spacing w:val="-3"/>
        </w:rPr>
        <w:t xml:space="preserve"> </w:t>
      </w:r>
      <w:r>
        <w:t>every</w:t>
      </w:r>
      <w:r>
        <w:rPr>
          <w:spacing w:val="-3"/>
        </w:rPr>
        <w:t xml:space="preserve"> </w:t>
      </w:r>
      <w:r>
        <w:t>dollar of CDFI Fund assistance. According to the most recent CDFI Fund report, in 2021, CDFI program awardees made over 1.4 million loans or investments totaling more than $53 billion.</w:t>
      </w:r>
      <w:r>
        <w:rPr>
          <w:spacing w:val="-3"/>
        </w:rPr>
        <w:t xml:space="preserve"> </w:t>
      </w:r>
      <w:r>
        <w:t>CDFIs</w:t>
      </w:r>
      <w:r>
        <w:rPr>
          <w:spacing w:val="-2"/>
        </w:rPr>
        <w:t xml:space="preserve"> </w:t>
      </w:r>
      <w:r>
        <w:t>also</w:t>
      </w:r>
      <w:r>
        <w:rPr>
          <w:spacing w:val="-1"/>
        </w:rPr>
        <w:t xml:space="preserve"> </w:t>
      </w:r>
      <w:r>
        <w:t>financed</w:t>
      </w:r>
      <w:r>
        <w:rPr>
          <w:spacing w:val="-1"/>
        </w:rPr>
        <w:t xml:space="preserve"> some 65,000 </w:t>
      </w:r>
      <w:r>
        <w:rPr>
          <w:spacing w:val="-2"/>
        </w:rPr>
        <w:t>affordable</w:t>
      </w:r>
      <w:r>
        <w:rPr>
          <w:spacing w:val="-1"/>
        </w:rPr>
        <w:t xml:space="preserve"> </w:t>
      </w:r>
      <w:r>
        <w:t>housing</w:t>
      </w:r>
      <w:r>
        <w:rPr>
          <w:spacing w:val="-1"/>
        </w:rPr>
        <w:t xml:space="preserve"> </w:t>
      </w:r>
      <w:r>
        <w:rPr>
          <w:spacing w:val="-2"/>
        </w:rPr>
        <w:t>units.</w:t>
      </w:r>
    </w:p>
    <w:p w14:paraId="46FFB9E8" w14:textId="77777777" w:rsidR="00003E23" w:rsidRDefault="00003E23" w:rsidP="00003E23">
      <w:pPr>
        <w:pStyle w:val="BodyText"/>
        <w:rPr>
          <w:sz w:val="20"/>
        </w:rPr>
      </w:pPr>
    </w:p>
    <w:p w14:paraId="5B8BD9CA" w14:textId="77777777" w:rsidR="00003E23" w:rsidRDefault="00003E23" w:rsidP="00003E23">
      <w:pPr>
        <w:pStyle w:val="BodyText"/>
        <w:spacing w:before="5"/>
        <w:rPr>
          <w:sz w:val="16"/>
        </w:rPr>
      </w:pPr>
      <w:r>
        <w:rPr>
          <w:noProof/>
        </w:rPr>
        <mc:AlternateContent>
          <mc:Choice Requires="wps">
            <w:drawing>
              <wp:anchor distT="0" distB="0" distL="0" distR="0" simplePos="0" relativeHeight="251659264" behindDoc="1" locked="0" layoutInCell="1" allowOverlap="1" wp14:anchorId="6555A405" wp14:editId="21822E1B">
                <wp:simplePos x="0" y="0"/>
                <wp:positionH relativeFrom="page">
                  <wp:posOffset>914400</wp:posOffset>
                </wp:positionH>
                <wp:positionV relativeFrom="paragraph">
                  <wp:posOffset>135890</wp:posOffset>
                </wp:positionV>
                <wp:extent cx="1485900" cy="6350"/>
                <wp:effectExtent l="0" t="0" r="0" b="381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62CDF" id="Rectangle 2" o:spid="_x0000_s1026" style="position:absolute;margin-left:1in;margin-top:10.7pt;width:117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2KadQIAAPk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" fillcolor="black" stroked="f">
                <w10:wrap type="topAndBottom" anchorx="page"/>
              </v:rect>
            </w:pict>
          </mc:Fallback>
        </mc:AlternateContent>
      </w:r>
    </w:p>
    <w:bookmarkStart w:id="2" w:name="_bookmark1"/>
    <w:bookmarkEnd w:id="2"/>
    <w:p w14:paraId="1F2EF26D" w14:textId="77777777" w:rsidR="00003E23" w:rsidRDefault="00003E23" w:rsidP="00003E23">
      <w:pPr>
        <w:spacing w:before="92" w:line="244" w:lineRule="auto"/>
        <w:ind w:left="101"/>
        <w:rPr>
          <w:rFonts w:ascii="Cambria"/>
          <w:sz w:val="16"/>
        </w:rPr>
      </w:pPr>
      <w:r>
        <w:fldChar w:fldCharType="begin"/>
      </w:r>
      <w:r>
        <w:instrText>HYPERLINK \l "_bookmark0"</w:instrText>
      </w:r>
      <w:r>
        <w:fldChar w:fldCharType="separate"/>
      </w:r>
      <w:r>
        <w:rPr>
          <w:sz w:val="16"/>
          <w:vertAlign w:val="superscript"/>
        </w:rPr>
        <w:t>1</w:t>
      </w:r>
      <w:r>
        <w:rPr>
          <w:sz w:val="16"/>
          <w:vertAlign w:val="superscript"/>
        </w:rPr>
        <w:fldChar w:fldCharType="end"/>
      </w:r>
      <w:r>
        <w:rPr>
          <w:sz w:val="16"/>
        </w:rPr>
        <w:t xml:space="preserve"> </w:t>
      </w:r>
      <w:r>
        <w:rPr>
          <w:rFonts w:ascii="Cambria"/>
          <w:sz w:val="16"/>
        </w:rPr>
        <w:t>To be eligible for CDFI certification, an organization must be a non-governmental entity (except Tribal governmental</w:t>
      </w:r>
      <w:r>
        <w:rPr>
          <w:rFonts w:ascii="Cambria"/>
          <w:spacing w:val="40"/>
          <w:sz w:val="16"/>
        </w:rPr>
        <w:t xml:space="preserve"> </w:t>
      </w:r>
      <w:r>
        <w:rPr>
          <w:rFonts w:ascii="Cambria"/>
          <w:sz w:val="16"/>
        </w:rPr>
        <w:t>entities);</w:t>
      </w:r>
      <w:r>
        <w:rPr>
          <w:rFonts w:ascii="Cambria"/>
          <w:spacing w:val="-3"/>
          <w:sz w:val="16"/>
        </w:rPr>
        <w:t xml:space="preserve"> </w:t>
      </w:r>
      <w:r>
        <w:rPr>
          <w:rFonts w:ascii="Cambria"/>
          <w:sz w:val="16"/>
        </w:rPr>
        <w:t>with</w:t>
      </w:r>
      <w:r>
        <w:rPr>
          <w:rFonts w:ascii="Cambria"/>
          <w:spacing w:val="-3"/>
          <w:sz w:val="16"/>
        </w:rPr>
        <w:t xml:space="preserve"> </w:t>
      </w:r>
      <w:r>
        <w:rPr>
          <w:rFonts w:ascii="Cambria"/>
          <w:sz w:val="16"/>
        </w:rPr>
        <w:t>a</w:t>
      </w:r>
      <w:r>
        <w:rPr>
          <w:rFonts w:ascii="Cambria"/>
          <w:spacing w:val="-3"/>
          <w:sz w:val="16"/>
        </w:rPr>
        <w:t xml:space="preserve"> </w:t>
      </w:r>
      <w:r>
        <w:rPr>
          <w:rFonts w:ascii="Cambria"/>
          <w:sz w:val="16"/>
        </w:rPr>
        <w:t>primary</w:t>
      </w:r>
      <w:r>
        <w:rPr>
          <w:rFonts w:ascii="Cambria"/>
          <w:spacing w:val="-4"/>
          <w:sz w:val="16"/>
        </w:rPr>
        <w:t xml:space="preserve"> </w:t>
      </w:r>
      <w:r>
        <w:rPr>
          <w:rFonts w:ascii="Cambria"/>
          <w:sz w:val="16"/>
        </w:rPr>
        <w:t>mission</w:t>
      </w:r>
      <w:r>
        <w:rPr>
          <w:rFonts w:ascii="Cambria"/>
          <w:spacing w:val="-1"/>
          <w:sz w:val="16"/>
        </w:rPr>
        <w:t xml:space="preserve"> </w:t>
      </w:r>
      <w:r>
        <w:rPr>
          <w:rFonts w:ascii="Cambria"/>
          <w:sz w:val="16"/>
        </w:rPr>
        <w:t>of</w:t>
      </w:r>
      <w:r>
        <w:rPr>
          <w:rFonts w:ascii="Cambria"/>
          <w:spacing w:val="-3"/>
          <w:sz w:val="16"/>
        </w:rPr>
        <w:t xml:space="preserve"> </w:t>
      </w:r>
      <w:r>
        <w:rPr>
          <w:rFonts w:ascii="Cambria"/>
          <w:sz w:val="16"/>
        </w:rPr>
        <w:t>promoting</w:t>
      </w:r>
      <w:r>
        <w:rPr>
          <w:rFonts w:ascii="Cambria"/>
          <w:spacing w:val="-2"/>
          <w:sz w:val="16"/>
        </w:rPr>
        <w:t xml:space="preserve"> </w:t>
      </w:r>
      <w:r>
        <w:rPr>
          <w:rFonts w:ascii="Cambria"/>
          <w:sz w:val="16"/>
        </w:rPr>
        <w:t>community</w:t>
      </w:r>
      <w:r>
        <w:rPr>
          <w:rFonts w:ascii="Cambria"/>
          <w:spacing w:val="-4"/>
          <w:sz w:val="16"/>
        </w:rPr>
        <w:t xml:space="preserve"> </w:t>
      </w:r>
      <w:r>
        <w:rPr>
          <w:rFonts w:ascii="Cambria"/>
          <w:sz w:val="16"/>
        </w:rPr>
        <w:t>development;</w:t>
      </w:r>
      <w:r>
        <w:rPr>
          <w:rFonts w:ascii="Cambria"/>
          <w:spacing w:val="-3"/>
          <w:sz w:val="16"/>
        </w:rPr>
        <w:t xml:space="preserve"> </w:t>
      </w:r>
      <w:r>
        <w:rPr>
          <w:rFonts w:ascii="Cambria"/>
          <w:sz w:val="16"/>
        </w:rPr>
        <w:t>that</w:t>
      </w:r>
      <w:r>
        <w:rPr>
          <w:rFonts w:ascii="Cambria"/>
          <w:spacing w:val="-3"/>
          <w:sz w:val="16"/>
        </w:rPr>
        <w:t xml:space="preserve"> </w:t>
      </w:r>
      <w:r>
        <w:rPr>
          <w:rFonts w:ascii="Cambria"/>
          <w:sz w:val="16"/>
        </w:rPr>
        <w:t>provides</w:t>
      </w:r>
      <w:r>
        <w:rPr>
          <w:rFonts w:ascii="Cambria"/>
          <w:spacing w:val="-2"/>
          <w:sz w:val="16"/>
        </w:rPr>
        <w:t xml:space="preserve"> </w:t>
      </w:r>
      <w:r>
        <w:rPr>
          <w:rFonts w:ascii="Cambria"/>
          <w:sz w:val="16"/>
        </w:rPr>
        <w:t>both</w:t>
      </w:r>
      <w:r>
        <w:rPr>
          <w:rFonts w:ascii="Cambria"/>
          <w:spacing w:val="-3"/>
          <w:sz w:val="16"/>
        </w:rPr>
        <w:t xml:space="preserve"> </w:t>
      </w:r>
      <w:r>
        <w:rPr>
          <w:rFonts w:ascii="Cambria"/>
          <w:sz w:val="16"/>
        </w:rPr>
        <w:t>financial</w:t>
      </w:r>
      <w:r>
        <w:rPr>
          <w:rFonts w:ascii="Cambria"/>
          <w:spacing w:val="-2"/>
          <w:sz w:val="16"/>
        </w:rPr>
        <w:t xml:space="preserve"> </w:t>
      </w:r>
      <w:r>
        <w:rPr>
          <w:rFonts w:ascii="Cambria"/>
          <w:sz w:val="16"/>
        </w:rPr>
        <w:t>and</w:t>
      </w:r>
      <w:r>
        <w:rPr>
          <w:rFonts w:ascii="Cambria"/>
          <w:spacing w:val="-4"/>
          <w:sz w:val="16"/>
        </w:rPr>
        <w:t xml:space="preserve"> </w:t>
      </w:r>
      <w:r>
        <w:rPr>
          <w:rFonts w:ascii="Cambria"/>
          <w:sz w:val="16"/>
        </w:rPr>
        <w:t>educational</w:t>
      </w:r>
      <w:r>
        <w:rPr>
          <w:rFonts w:ascii="Cambria"/>
          <w:spacing w:val="-2"/>
          <w:sz w:val="16"/>
        </w:rPr>
        <w:t xml:space="preserve"> </w:t>
      </w:r>
      <w:r>
        <w:rPr>
          <w:rFonts w:ascii="Cambria"/>
          <w:sz w:val="16"/>
        </w:rPr>
        <w:t>services</w:t>
      </w:r>
      <w:r>
        <w:rPr>
          <w:rFonts w:ascii="Cambria"/>
          <w:spacing w:val="-2"/>
          <w:sz w:val="16"/>
        </w:rPr>
        <w:t xml:space="preserve"> </w:t>
      </w:r>
      <w:r>
        <w:rPr>
          <w:rFonts w:ascii="Cambria"/>
          <w:sz w:val="16"/>
        </w:rPr>
        <w:t>to</w:t>
      </w:r>
      <w:r>
        <w:rPr>
          <w:rFonts w:ascii="Cambria"/>
          <w:spacing w:val="-4"/>
          <w:sz w:val="16"/>
        </w:rPr>
        <w:t xml:space="preserve"> </w:t>
      </w:r>
      <w:r>
        <w:rPr>
          <w:rFonts w:ascii="Cambria"/>
          <w:sz w:val="16"/>
        </w:rPr>
        <w:t>one</w:t>
      </w:r>
      <w:r>
        <w:rPr>
          <w:rFonts w:ascii="Cambria"/>
          <w:spacing w:val="-3"/>
          <w:sz w:val="16"/>
        </w:rPr>
        <w:t xml:space="preserve"> </w:t>
      </w:r>
      <w:r>
        <w:rPr>
          <w:rFonts w:ascii="Cambria"/>
          <w:sz w:val="16"/>
        </w:rPr>
        <w:t>or</w:t>
      </w:r>
      <w:r>
        <w:rPr>
          <w:rFonts w:ascii="Cambria"/>
          <w:spacing w:val="40"/>
          <w:sz w:val="16"/>
        </w:rPr>
        <w:t xml:space="preserve"> </w:t>
      </w:r>
      <w:r>
        <w:rPr>
          <w:rFonts w:ascii="Cambria"/>
          <w:sz w:val="16"/>
        </w:rPr>
        <w:t>more defined low-income target markets; and is accountable to the target market it serves</w:t>
      </w:r>
      <w:r>
        <w:rPr>
          <w:rFonts w:ascii="Cambria"/>
          <w:sz w:val="16"/>
        </w:rPr>
        <w:t>—</w:t>
      </w:r>
      <w:r>
        <w:rPr>
          <w:rFonts w:ascii="Cambria"/>
          <w:sz w:val="16"/>
        </w:rPr>
        <w:t>number current as of 12/1/2021.</w:t>
      </w:r>
    </w:p>
    <w:p w14:paraId="6717037B" w14:textId="77777777" w:rsidR="00003E23" w:rsidRDefault="00003E23" w:rsidP="00003E23">
      <w:pPr>
        <w:spacing w:line="244" w:lineRule="auto"/>
        <w:rPr>
          <w:rFonts w:ascii="Cambria"/>
          <w:sz w:val="16"/>
        </w:rPr>
        <w:sectPr w:rsidR="00003E23" w:rsidSect="00C3156A">
          <w:pgSz w:w="12240" w:h="15840"/>
          <w:pgMar w:top="1680" w:right="1340" w:bottom="280" w:left="1340" w:header="720" w:footer="720" w:gutter="0"/>
          <w:cols w:space="720"/>
        </w:sectPr>
      </w:pPr>
    </w:p>
    <w:p w14:paraId="78ED7540" w14:textId="77777777" w:rsidR="00003E23" w:rsidRDefault="00003E23" w:rsidP="00003E23">
      <w:pPr>
        <w:pStyle w:val="BodyText"/>
        <w:spacing w:before="197" w:line="276" w:lineRule="auto"/>
        <w:ind w:left="101" w:right="135"/>
      </w:pPr>
      <w:r>
        <w:lastRenderedPageBreak/>
        <w:t>As</w:t>
      </w:r>
      <w:r>
        <w:rPr>
          <w:spacing w:val="-5"/>
        </w:rPr>
        <w:t xml:space="preserve"> </w:t>
      </w:r>
      <w:r>
        <w:t>the</w:t>
      </w:r>
      <w:r>
        <w:rPr>
          <w:spacing w:val="-6"/>
        </w:rPr>
        <w:t xml:space="preserve"> </w:t>
      </w:r>
      <w:r>
        <w:t>economy</w:t>
      </w:r>
      <w:r>
        <w:rPr>
          <w:spacing w:val="-4"/>
        </w:rPr>
        <w:t xml:space="preserve"> </w:t>
      </w:r>
      <w:r>
        <w:t>recovers,</w:t>
      </w:r>
      <w:r>
        <w:rPr>
          <w:spacing w:val="-5"/>
        </w:rPr>
        <w:t xml:space="preserve"> </w:t>
      </w:r>
      <w:r>
        <w:t>small</w:t>
      </w:r>
      <w:r>
        <w:rPr>
          <w:spacing w:val="-4"/>
        </w:rPr>
        <w:t xml:space="preserve"> </w:t>
      </w:r>
      <w:r>
        <w:t>businesses</w:t>
      </w:r>
      <w:r>
        <w:rPr>
          <w:spacing w:val="-5"/>
        </w:rPr>
        <w:t xml:space="preserve"> </w:t>
      </w:r>
      <w:r>
        <w:t>and</w:t>
      </w:r>
      <w:r>
        <w:rPr>
          <w:spacing w:val="-5"/>
        </w:rPr>
        <w:t xml:space="preserve"> </w:t>
      </w:r>
      <w:r>
        <w:t>entrepreneurs</w:t>
      </w:r>
      <w:r>
        <w:rPr>
          <w:spacing w:val="-3"/>
        </w:rPr>
        <w:t xml:space="preserve"> </w:t>
      </w:r>
      <w:r>
        <w:t>in</w:t>
      </w:r>
      <w:r>
        <w:rPr>
          <w:spacing w:val="-5"/>
        </w:rPr>
        <w:t xml:space="preserve"> </w:t>
      </w:r>
      <w:r>
        <w:t>disadvantaged</w:t>
      </w:r>
      <w:r>
        <w:rPr>
          <w:spacing w:val="-2"/>
        </w:rPr>
        <w:t xml:space="preserve"> </w:t>
      </w:r>
      <w:r>
        <w:t>communities</w:t>
      </w:r>
      <w:r>
        <w:rPr>
          <w:spacing w:val="-3"/>
        </w:rPr>
        <w:t xml:space="preserve"> </w:t>
      </w:r>
      <w:r>
        <w:t>will need the patient, flexible capital available through CDFIs. With CDFIs’</w:t>
      </w:r>
      <w:r>
        <w:rPr>
          <w:spacing w:val="40"/>
        </w:rPr>
        <w:t xml:space="preserve"> </w:t>
      </w:r>
      <w:r>
        <w:t>demonstrated success,</w:t>
      </w:r>
      <w:r>
        <w:rPr>
          <w:spacing w:val="-3"/>
        </w:rPr>
        <w:t xml:space="preserve"> </w:t>
      </w:r>
      <w:r>
        <w:t>a</w:t>
      </w:r>
      <w:r>
        <w:rPr>
          <w:spacing w:val="-2"/>
        </w:rPr>
        <w:t xml:space="preserve"> </w:t>
      </w:r>
      <w:r>
        <w:t>robust</w:t>
      </w:r>
      <w:r>
        <w:rPr>
          <w:spacing w:val="-2"/>
        </w:rPr>
        <w:t xml:space="preserve"> </w:t>
      </w:r>
      <w:r>
        <w:t>appropriation</w:t>
      </w:r>
      <w:r>
        <w:rPr>
          <w:spacing w:val="-2"/>
        </w:rPr>
        <w:t xml:space="preserve"> </w:t>
      </w:r>
      <w:r>
        <w:t>would</w:t>
      </w:r>
      <w:r>
        <w:rPr>
          <w:spacing w:val="-3"/>
        </w:rPr>
        <w:t xml:space="preserve"> </w:t>
      </w:r>
      <w:r>
        <w:t>provide</w:t>
      </w:r>
      <w:r>
        <w:rPr>
          <w:spacing w:val="-2"/>
        </w:rPr>
        <w:t xml:space="preserve"> </w:t>
      </w:r>
      <w:r>
        <w:t>much-needed</w:t>
      </w:r>
      <w:r>
        <w:rPr>
          <w:spacing w:val="-2"/>
        </w:rPr>
        <w:t xml:space="preserve"> </w:t>
      </w:r>
      <w:r>
        <w:t>means and</w:t>
      </w:r>
      <w:r>
        <w:rPr>
          <w:spacing w:val="-3"/>
        </w:rPr>
        <w:t xml:space="preserve"> </w:t>
      </w:r>
      <w:r>
        <w:t>services</w:t>
      </w:r>
      <w:r>
        <w:rPr>
          <w:spacing w:val="-1"/>
        </w:rPr>
        <w:t xml:space="preserve"> </w:t>
      </w:r>
      <w:r>
        <w:t>to consumers and small businesses, especially in rural and urban low-income communities.</w:t>
      </w:r>
    </w:p>
    <w:p w14:paraId="48B803D9" w14:textId="77777777" w:rsidR="00003E23" w:rsidRDefault="00003E23" w:rsidP="00003E23">
      <w:pPr>
        <w:pStyle w:val="BodyText"/>
        <w:spacing w:line="276" w:lineRule="auto"/>
        <w:ind w:left="101"/>
      </w:pPr>
      <w:r>
        <w:t>Communities will put those dollars to work, improving access to healthy food, financing affordable</w:t>
      </w:r>
      <w:r>
        <w:rPr>
          <w:spacing w:val="-5"/>
        </w:rPr>
        <w:t xml:space="preserve"> </w:t>
      </w:r>
      <w:r>
        <w:t>housing,</w:t>
      </w:r>
      <w:r>
        <w:rPr>
          <w:spacing w:val="-5"/>
        </w:rPr>
        <w:t xml:space="preserve"> </w:t>
      </w:r>
      <w:r>
        <w:t>building</w:t>
      </w:r>
      <w:r>
        <w:rPr>
          <w:spacing w:val="-5"/>
        </w:rPr>
        <w:t xml:space="preserve"> </w:t>
      </w:r>
      <w:r>
        <w:t>and</w:t>
      </w:r>
      <w:r>
        <w:rPr>
          <w:spacing w:val="-5"/>
        </w:rPr>
        <w:t xml:space="preserve"> </w:t>
      </w:r>
      <w:r>
        <w:t>repairing</w:t>
      </w:r>
      <w:r>
        <w:rPr>
          <w:spacing w:val="-5"/>
        </w:rPr>
        <w:t xml:space="preserve"> </w:t>
      </w:r>
      <w:r>
        <w:t>community</w:t>
      </w:r>
      <w:r>
        <w:rPr>
          <w:spacing w:val="-5"/>
        </w:rPr>
        <w:t xml:space="preserve"> </w:t>
      </w:r>
      <w:r>
        <w:t>facilities,</w:t>
      </w:r>
      <w:r>
        <w:rPr>
          <w:spacing w:val="-5"/>
        </w:rPr>
        <w:t xml:space="preserve"> </w:t>
      </w:r>
      <w:r>
        <w:t>expanding</w:t>
      </w:r>
      <w:r>
        <w:rPr>
          <w:spacing w:val="-5"/>
        </w:rPr>
        <w:t xml:space="preserve"> </w:t>
      </w:r>
      <w:r>
        <w:t>businesses,</w:t>
      </w:r>
      <w:r>
        <w:rPr>
          <w:spacing w:val="-5"/>
        </w:rPr>
        <w:t xml:space="preserve"> </w:t>
      </w:r>
      <w:r>
        <w:t>and improving opportunities for persons with disabilities.</w:t>
      </w:r>
    </w:p>
    <w:p w14:paraId="56786F60" w14:textId="77777777" w:rsidR="00003E23" w:rsidRDefault="00003E23" w:rsidP="00003E23">
      <w:pPr>
        <w:pStyle w:val="BodyText"/>
        <w:spacing w:before="199" w:line="276" w:lineRule="auto"/>
        <w:ind w:left="101"/>
      </w:pPr>
      <w:r>
        <w:t>For</w:t>
      </w:r>
      <w:r>
        <w:rPr>
          <w:spacing w:val="26"/>
        </w:rPr>
        <w:t xml:space="preserve"> </w:t>
      </w:r>
      <w:r>
        <w:t>these</w:t>
      </w:r>
      <w:r>
        <w:rPr>
          <w:spacing w:val="26"/>
        </w:rPr>
        <w:t xml:space="preserve"> </w:t>
      </w:r>
      <w:r>
        <w:t>reasons,</w:t>
      </w:r>
      <w:r>
        <w:rPr>
          <w:spacing w:val="26"/>
        </w:rPr>
        <w:t xml:space="preserve"> </w:t>
      </w:r>
      <w:r>
        <w:t>we</w:t>
      </w:r>
      <w:r>
        <w:rPr>
          <w:spacing w:val="23"/>
        </w:rPr>
        <w:t xml:space="preserve"> </w:t>
      </w:r>
      <w:r>
        <w:t>strongly</w:t>
      </w:r>
      <w:r>
        <w:rPr>
          <w:spacing w:val="26"/>
        </w:rPr>
        <w:t xml:space="preserve"> </w:t>
      </w:r>
      <w:r>
        <w:t>urge</w:t>
      </w:r>
      <w:r>
        <w:rPr>
          <w:spacing w:val="26"/>
        </w:rPr>
        <w:t xml:space="preserve"> </w:t>
      </w:r>
      <w:r>
        <w:t>you</w:t>
      </w:r>
      <w:r>
        <w:rPr>
          <w:spacing w:val="24"/>
        </w:rPr>
        <w:t xml:space="preserve"> </w:t>
      </w:r>
      <w:r>
        <w:t>to</w:t>
      </w:r>
      <w:r>
        <w:rPr>
          <w:spacing w:val="26"/>
        </w:rPr>
        <w:t xml:space="preserve"> </w:t>
      </w:r>
      <w:r>
        <w:t>continue</w:t>
      </w:r>
      <w:r>
        <w:rPr>
          <w:spacing w:val="28"/>
        </w:rPr>
        <w:t xml:space="preserve"> </w:t>
      </w:r>
      <w:r>
        <w:t>supporting</w:t>
      </w:r>
      <w:r>
        <w:rPr>
          <w:spacing w:val="26"/>
        </w:rPr>
        <w:t xml:space="preserve"> </w:t>
      </w:r>
      <w:r>
        <w:t>the</w:t>
      </w:r>
      <w:r>
        <w:rPr>
          <w:spacing w:val="26"/>
        </w:rPr>
        <w:t xml:space="preserve"> </w:t>
      </w:r>
      <w:r>
        <w:t>work</w:t>
      </w:r>
      <w:r>
        <w:rPr>
          <w:spacing w:val="26"/>
        </w:rPr>
        <w:t xml:space="preserve"> </w:t>
      </w:r>
      <w:r>
        <w:t>of</w:t>
      </w:r>
      <w:r>
        <w:rPr>
          <w:spacing w:val="24"/>
        </w:rPr>
        <w:t xml:space="preserve"> </w:t>
      </w:r>
      <w:r>
        <w:t>CDFIs</w:t>
      </w:r>
      <w:r>
        <w:rPr>
          <w:spacing w:val="25"/>
        </w:rPr>
        <w:t xml:space="preserve"> </w:t>
      </w:r>
      <w:r>
        <w:t>with</w:t>
      </w:r>
      <w:r>
        <w:rPr>
          <w:spacing w:val="26"/>
        </w:rPr>
        <w:t xml:space="preserve"> </w:t>
      </w:r>
      <w:r>
        <w:t xml:space="preserve">an appropriation for the CDFI Fund of $341 million for FY 2024 </w:t>
      </w:r>
    </w:p>
    <w:p w14:paraId="46A2E2BB" w14:textId="77777777" w:rsidR="00AF020B" w:rsidRPr="00AF020B" w:rsidRDefault="00AF020B" w:rsidP="00AF020B">
      <w:pPr>
        <w:spacing w:after="240"/>
        <w:rPr>
          <w:rFonts w:ascii="Times New Roman" w:eastAsia="Calibri" w:hAnsi="Times New Roman" w:cs="Times New Roman"/>
          <w:sz w:val="24"/>
          <w:szCs w:val="24"/>
        </w:rPr>
      </w:pPr>
    </w:p>
    <w:p w14:paraId="252B447A" w14:textId="77777777" w:rsidR="00A4545B" w:rsidRPr="00886623" w:rsidRDefault="00A4545B" w:rsidP="00A4545B">
      <w:pPr>
        <w:spacing w:after="0" w:line="240" w:lineRule="auto"/>
        <w:rPr>
          <w:rFonts w:ascii="Times New Roman" w:hAnsi="Times New Roman"/>
          <w:sz w:val="24"/>
          <w:szCs w:val="24"/>
        </w:rPr>
      </w:pPr>
      <w:r w:rsidRPr="00886623">
        <w:rPr>
          <w:rFonts w:ascii="Times New Roman" w:hAnsi="Times New Roman"/>
          <w:sz w:val="24"/>
          <w:szCs w:val="24"/>
        </w:rPr>
        <w:t>[[CLOSING]]</w:t>
      </w:r>
    </w:p>
    <w:p w14:paraId="07EEC5AE" w14:textId="77777777" w:rsidR="00A4545B" w:rsidRPr="00886623" w:rsidRDefault="00A4545B" w:rsidP="00A4545B">
      <w:pPr>
        <w:spacing w:after="0" w:line="240" w:lineRule="auto"/>
        <w:rPr>
          <w:rFonts w:ascii="Times New Roman" w:hAnsi="Times New Roman"/>
          <w:sz w:val="24"/>
          <w:szCs w:val="24"/>
        </w:rPr>
      </w:pPr>
    </w:p>
    <w:p w14:paraId="6E225104" w14:textId="77777777" w:rsidR="00A4545B" w:rsidRPr="00886623" w:rsidRDefault="00A4545B" w:rsidP="00A4545B">
      <w:pPr>
        <w:spacing w:after="0" w:line="240" w:lineRule="auto"/>
        <w:rPr>
          <w:rFonts w:ascii="Times New Roman" w:hAnsi="Times New Roman"/>
          <w:sz w:val="24"/>
          <w:szCs w:val="24"/>
        </w:rPr>
      </w:pPr>
      <w:r w:rsidRPr="00886623">
        <w:rPr>
          <w:rFonts w:ascii="Times New Roman" w:hAnsi="Times New Roman"/>
          <w:sz w:val="24"/>
          <w:szCs w:val="24"/>
        </w:rPr>
        <w:t>[[SIGNATURES]]</w:t>
      </w:r>
    </w:p>
    <w:p w14:paraId="443E4D60" w14:textId="77777777" w:rsidR="00A4545B" w:rsidRDefault="00A4545B" w:rsidP="00594225">
      <w:pPr>
        <w:rPr>
          <w:rFonts w:ascii="Times New Roman" w:hAnsi="Times New Roman" w:cs="Times New Roman"/>
          <w:b/>
          <w:sz w:val="24"/>
          <w:szCs w:val="24"/>
        </w:rPr>
      </w:pPr>
    </w:p>
    <w:p w14:paraId="68D5C0C9" w14:textId="77777777" w:rsidR="004547DF" w:rsidRDefault="004547DF" w:rsidP="004547DF">
      <w:pPr>
        <w:rPr>
          <w:rFonts w:ascii="Times New Roman" w:hAnsi="Times New Roman" w:cs="Times New Roman"/>
          <w:sz w:val="24"/>
          <w:szCs w:val="24"/>
        </w:rPr>
      </w:pPr>
    </w:p>
    <w:p w14:paraId="6B51C90A" w14:textId="77777777" w:rsidR="001A40AA" w:rsidRPr="004547DF" w:rsidRDefault="001A40AA" w:rsidP="004547DF">
      <w:pPr>
        <w:tabs>
          <w:tab w:val="left" w:pos="984"/>
        </w:tabs>
        <w:rPr>
          <w:rFonts w:ascii="Times New Roman" w:hAnsi="Times New Roman" w:cs="Times New Roman"/>
          <w:sz w:val="24"/>
          <w:szCs w:val="24"/>
        </w:rPr>
      </w:pPr>
    </w:p>
    <w:sectPr w:rsidR="001A40AA" w:rsidRPr="004547DF" w:rsidSect="00A454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A5092" w14:textId="77777777" w:rsidR="00AE3418" w:rsidRDefault="00AE3418" w:rsidP="00AE3418">
      <w:pPr>
        <w:spacing w:after="0" w:line="240" w:lineRule="auto"/>
      </w:pPr>
      <w:r>
        <w:separator/>
      </w:r>
    </w:p>
  </w:endnote>
  <w:endnote w:type="continuationSeparator" w:id="0">
    <w:p w14:paraId="3C483FB6" w14:textId="77777777" w:rsidR="00AE3418" w:rsidRDefault="00AE3418" w:rsidP="00AE3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9193C" w14:textId="77777777" w:rsidR="00AE3418" w:rsidRDefault="00AE3418" w:rsidP="00AE3418">
      <w:pPr>
        <w:spacing w:after="0" w:line="240" w:lineRule="auto"/>
      </w:pPr>
      <w:r>
        <w:separator/>
      </w:r>
    </w:p>
  </w:footnote>
  <w:footnote w:type="continuationSeparator" w:id="0">
    <w:p w14:paraId="37633872" w14:textId="77777777" w:rsidR="00AE3418" w:rsidRDefault="00AE3418" w:rsidP="00AE34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922F5"/>
    <w:multiLevelType w:val="hybridMultilevel"/>
    <w:tmpl w:val="B6243A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A3MjY3MbQwsTQxtzRU0lEKTi0uzszPAykwqQUAr8qJHCwAAAA="/>
  </w:docVars>
  <w:rsids>
    <w:rsidRoot w:val="00F72EB5"/>
    <w:rsid w:val="00003E23"/>
    <w:rsid w:val="00006DC5"/>
    <w:rsid w:val="00074654"/>
    <w:rsid w:val="001A40AA"/>
    <w:rsid w:val="00275E61"/>
    <w:rsid w:val="002C2AD7"/>
    <w:rsid w:val="002F78F8"/>
    <w:rsid w:val="003856A8"/>
    <w:rsid w:val="003D4036"/>
    <w:rsid w:val="004547DF"/>
    <w:rsid w:val="004D7FDB"/>
    <w:rsid w:val="00507901"/>
    <w:rsid w:val="00534AB4"/>
    <w:rsid w:val="00594225"/>
    <w:rsid w:val="005B098D"/>
    <w:rsid w:val="005F23F8"/>
    <w:rsid w:val="00662700"/>
    <w:rsid w:val="006C561F"/>
    <w:rsid w:val="007E0C97"/>
    <w:rsid w:val="008858A2"/>
    <w:rsid w:val="00A4545B"/>
    <w:rsid w:val="00AA4710"/>
    <w:rsid w:val="00AE3418"/>
    <w:rsid w:val="00AF020B"/>
    <w:rsid w:val="00B346F7"/>
    <w:rsid w:val="00B751B8"/>
    <w:rsid w:val="00BB4CC2"/>
    <w:rsid w:val="00BF52D3"/>
    <w:rsid w:val="00CC189F"/>
    <w:rsid w:val="00CC4024"/>
    <w:rsid w:val="00D20149"/>
    <w:rsid w:val="00E00359"/>
    <w:rsid w:val="00F72EB5"/>
    <w:rsid w:val="00F81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2F49CB"/>
  <w15:docId w15:val="{49079B66-2A4B-4584-A2C9-C55837D2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2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EB5"/>
    <w:rPr>
      <w:rFonts w:ascii="Tahoma" w:hAnsi="Tahoma" w:cs="Tahoma"/>
      <w:sz w:val="16"/>
      <w:szCs w:val="16"/>
    </w:rPr>
  </w:style>
  <w:style w:type="paragraph" w:styleId="NoSpacing">
    <w:name w:val="No Spacing"/>
    <w:uiPriority w:val="1"/>
    <w:qFormat/>
    <w:rsid w:val="00BF52D3"/>
    <w:pPr>
      <w:spacing w:after="0" w:line="240" w:lineRule="auto"/>
    </w:pPr>
  </w:style>
  <w:style w:type="paragraph" w:styleId="NormalWeb">
    <w:name w:val="Normal (Web)"/>
    <w:basedOn w:val="Normal"/>
    <w:rsid w:val="001A40A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4545B"/>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E341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E341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AE3418"/>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AE3418"/>
    <w:rPr>
      <w:rFonts w:ascii="Times New Roman" w:hAnsi="Times New Roman"/>
      <w:sz w:val="20"/>
      <w:szCs w:val="20"/>
    </w:rPr>
  </w:style>
  <w:style w:type="character" w:styleId="FootnoteReference">
    <w:name w:val="footnote reference"/>
    <w:basedOn w:val="DefaultParagraphFont"/>
    <w:uiPriority w:val="99"/>
    <w:semiHidden/>
    <w:unhideWhenUsed/>
    <w:rsid w:val="00AE3418"/>
    <w:rPr>
      <w:vertAlign w:val="superscript"/>
    </w:rPr>
  </w:style>
  <w:style w:type="paragraph" w:styleId="Header">
    <w:name w:val="header"/>
    <w:basedOn w:val="Normal"/>
    <w:link w:val="HeaderChar"/>
    <w:uiPriority w:val="99"/>
    <w:unhideWhenUsed/>
    <w:rsid w:val="00AE3418"/>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AE3418"/>
    <w:rPr>
      <w:rFonts w:ascii="Times New Roman" w:eastAsia="Times New Roman" w:hAnsi="Times New Roman" w:cs="Times New Roman"/>
    </w:rPr>
  </w:style>
  <w:style w:type="paragraph" w:styleId="Footer">
    <w:name w:val="footer"/>
    <w:basedOn w:val="Normal"/>
    <w:link w:val="FooterChar"/>
    <w:uiPriority w:val="99"/>
    <w:unhideWhenUsed/>
    <w:rsid w:val="00AE3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19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1EB79-EC6F-4BCA-B1DC-1F4DA55C2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c:creator>
  <cp:lastModifiedBy>Feder, Alfie (Menendez)</cp:lastModifiedBy>
  <cp:revision>3</cp:revision>
  <cp:lastPrinted>2017-02-14T15:13:00Z</cp:lastPrinted>
  <dcterms:created xsi:type="dcterms:W3CDTF">2023-03-20T13:22:00Z</dcterms:created>
  <dcterms:modified xsi:type="dcterms:W3CDTF">2023-03-20T15:37:00Z</dcterms:modified>
</cp:coreProperties>
</file>